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9A" w:rsidRDefault="0096707A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Załącznik nr 2</w:t>
      </w:r>
    </w:p>
    <w:p w:rsidR="0010729A" w:rsidRDefault="0096707A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 Zasad (polityki) rachunkowości</w:t>
      </w:r>
    </w:p>
    <w:p w:rsidR="0010729A" w:rsidRDefault="0096707A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spółki z o. o. "Moja Firma"</w:t>
      </w:r>
    </w:p>
    <w:p w:rsidR="0010729A" w:rsidRDefault="0096707A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 dnia 2 stycznia 2019 r.</w:t>
      </w:r>
    </w:p>
    <w:p w:rsidR="0010729A" w:rsidRDefault="0010729A">
      <w:pPr>
        <w:pStyle w:val="Standard"/>
        <w:rPr>
          <w:rFonts w:ascii="Calibri" w:hAnsi="Calibri"/>
        </w:rPr>
      </w:pPr>
    </w:p>
    <w:p w:rsidR="0010729A" w:rsidRDefault="0010729A">
      <w:pPr>
        <w:pStyle w:val="Standard"/>
        <w:rPr>
          <w:rFonts w:ascii="Calibri" w:hAnsi="Calibri"/>
        </w:rPr>
      </w:pPr>
    </w:p>
    <w:p w:rsidR="0010729A" w:rsidRDefault="0096707A">
      <w:pPr>
        <w:pStyle w:val="Standard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Metody wyceny aktywów i pasywów</w:t>
      </w:r>
    </w:p>
    <w:p w:rsidR="0010729A" w:rsidRDefault="0010729A">
      <w:pPr>
        <w:pStyle w:val="Standard"/>
        <w:rPr>
          <w:rFonts w:ascii="Calibri" w:hAnsi="Calibri"/>
        </w:rPr>
      </w:pPr>
    </w:p>
    <w:p w:rsidR="0010729A" w:rsidRDefault="0010729A">
      <w:pPr>
        <w:pStyle w:val="Standard"/>
        <w:rPr>
          <w:rFonts w:ascii="Calibri" w:hAnsi="Calibri"/>
        </w:rPr>
      </w:pPr>
    </w:p>
    <w:p w:rsidR="0010729A" w:rsidRDefault="0096707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W oparciu o przepisy zawarte w rozdziale 4 ustawy o rachunkowości ustala się następujące zakładowe metody wyceny aktywów i pasywów:</w:t>
      </w:r>
    </w:p>
    <w:p w:rsidR="0010729A" w:rsidRDefault="0010729A">
      <w:pPr>
        <w:pStyle w:val="Standard"/>
        <w:jc w:val="both"/>
        <w:rPr>
          <w:rFonts w:ascii="Calibri" w:hAnsi="Calibri"/>
        </w:rPr>
      </w:pPr>
    </w:p>
    <w:p w:rsidR="0010729A" w:rsidRDefault="0096707A">
      <w:pPr>
        <w:pStyle w:val="Standard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 Wycena aktywów trwałych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Środki trwałe oraz wartości niematerialne i prawne wyceniane są według nominalnych cen zakupu.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Środki trwale oraz wartości niematerialne i prawne amortyzuje się metodą liniową.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Amortyzacja dokonywana jest według zasad określonych w ustawie o podatku dochodowym od osób prawnych (</w:t>
      </w:r>
      <w:r>
        <w:rPr>
          <w:rFonts w:ascii="Calibri" w:hAnsi="Calibri"/>
          <w:color w:val="000000"/>
        </w:rPr>
        <w:t>art. 16a – 16m) z dnia 15 lutego 1992 roku (Dz. U. z 2000 roku nr 54 poz. 654 ze zm.)</w:t>
      </w:r>
      <w:r>
        <w:rPr>
          <w:rFonts w:ascii="Calibri" w:hAnsi="Calibri"/>
        </w:rPr>
        <w:t>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Istotną wartość początkową środka trwałego lub wartości niematerialnej lub prawnej wyznacza kwota 10 000 zł. Składniki aktywów trwałych, których wartość początkowa przekracza tą kwotę, podlegają amortyzacji zgodnie z przyjętymi zasadami.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Składniki majątku spełniające definicję środków trwałych lub wartości niematerialnych i prawnych, których cena jednostkowa nie przekracza granicznej kwoty 10 000 zł (</w:t>
      </w:r>
      <w:r w:rsidR="0015294D">
        <w:rPr>
          <w:rFonts w:ascii="Calibri" w:hAnsi="Calibri"/>
        </w:rPr>
        <w:t>nisko cenne</w:t>
      </w:r>
      <w:r>
        <w:rPr>
          <w:rFonts w:ascii="Calibri" w:hAnsi="Calibri"/>
        </w:rPr>
        <w:t>), nie są zaliczane w księgach rachunkowych do aktywów trwałych a ich wartość odnoszona jest bezpośrednio w koszty w miesiącu oddania do używania. Dodatkowo składniki o wartości od 100 zł do 10 000 zł obejmuje się ilościowo-wartościową ewidencją pozabilansową.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 przypadku zakupu jednakowych składników majątkowych spełniających definicję środków trwałych lub wartości niematerialnych i prawnych, których cena jednostkowa nie przekracza</w:t>
      </w:r>
      <w:r>
        <w:rPr>
          <w:rFonts w:ascii="Calibri" w:hAnsi="Calibri"/>
        </w:rPr>
        <w:br/>
        <w:t>10 000 zł, ale łączna kwota zakupu przekracza 20 000 zł, podlegają ujęciu w ewidencji bilansowej środków trwałych lub wartości niematerialnych i prawnych jako składniki zbiorczego obiektu inwentarzowego zespolonego rodzajowo, z jednoczesnym dokonywaniem od nich odpisów amortyzacyjnych zgodnie z przyjętymi zasadami.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Wartość początkowa środków trwałych podlega podwyższeniu o wartość nakładów poniesionych na ich ulepszenie, z zastrzeżeniem, że jeżeli ulepszenie to polega na instalacji części składowej lub peryferyjnej o jednostkowej wartości nieprzekraczającej 10 000 zł, to wartość ta obciąża koszty w momencie ich poniesienia i nie powiększa wartości początkowej środka trwałego, w którym zostały zainstalowane.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Odpisów amortyzacyjnych dokonuje się począwszy od pierwszego miesiąca następującego po miesiącu, w którym środek trwały lub wartość niematerialną lub prawną przyjęto do używania.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Weryfikacji przyjętych okresów ekonomicznej użyteczności i stawek amortyzacji środków trwałych lub wartości niematerialnych i prawnych dokonuje się na koniec każdego roku obrotowego.</w:t>
      </w:r>
    </w:p>
    <w:p w:rsidR="0010729A" w:rsidRDefault="0096707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Wszystkie obce środki trwałe lub wartości niematerialne i prawne użytkowane przez jednostkę na podstawie umowy, która ma charakter tzw. leasingu finansowego, są wprowadzane do ewidencji księgowej i amortyzowane zgodnie z zasadami przyjętymi dla własnych środków trwałych. Do podziału opłaty podstawowej na część odsetkową i kapitałową stosuje się metodę wewnętrznej stopy zwrotu IRR.</w:t>
      </w:r>
    </w:p>
    <w:p w:rsidR="0010729A" w:rsidRDefault="0010729A">
      <w:pPr>
        <w:pStyle w:val="Standard"/>
        <w:jc w:val="both"/>
        <w:rPr>
          <w:rFonts w:ascii="Calibri" w:hAnsi="Calibri"/>
        </w:rPr>
      </w:pPr>
    </w:p>
    <w:p w:rsidR="0010729A" w:rsidRDefault="0096707A">
      <w:pPr>
        <w:pStyle w:val="Standard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2. Wycena rzeczowych aktywów obrotowych</w:t>
      </w:r>
    </w:p>
    <w:p w:rsidR="0010729A" w:rsidRDefault="0096707A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Calibri" w:hAnsi="Calibri"/>
        </w:rPr>
        <w:t>Dla materiałów, towarów, produktów gotowych, półproduktów i produktów w toku prowadzi się ewidencję ilościowo-wartościową, a ich rozchód i stany ustala się metodą "pierwsze weszło, pierwsze wyszło" (FIFO).</w:t>
      </w:r>
    </w:p>
    <w:p w:rsidR="0010729A" w:rsidRDefault="0096707A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Calibri" w:hAnsi="Calibri"/>
        </w:rPr>
        <w:t>Materiały i towary wycenia się w cenach zakupu.</w:t>
      </w:r>
    </w:p>
    <w:p w:rsidR="0010729A" w:rsidRDefault="0096707A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Calibri" w:hAnsi="Calibri"/>
        </w:rPr>
        <w:t>Produkty w toku, o przewidywanym czasie wykonania krótszym niż 3 miesiące, wycenia się w wysokości bezpośrednich kosztów wytworzenia.</w:t>
      </w:r>
    </w:p>
    <w:p w:rsidR="0010729A" w:rsidRDefault="0010729A">
      <w:pPr>
        <w:pStyle w:val="Standard"/>
        <w:jc w:val="both"/>
        <w:rPr>
          <w:rFonts w:ascii="Calibri" w:hAnsi="Calibri"/>
        </w:rPr>
      </w:pPr>
    </w:p>
    <w:p w:rsidR="0010729A" w:rsidRDefault="0096707A">
      <w:pPr>
        <w:pStyle w:val="Standard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3. Wycena rozrachunków</w:t>
      </w:r>
    </w:p>
    <w:p w:rsidR="0010729A" w:rsidRDefault="0096707A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Należności i zobowiązania na dzień ich powstania wycenia się i ewidencjonuje w księgach rachunkowych według wartości nominalnej. Na dzień bilansowy wycenia się je w kwocie wymagającej zapłaty, obejmującej kwotę główną powiększoną o należne odsetki zwłoki w zapłacie – ustawowe.</w:t>
      </w:r>
    </w:p>
    <w:p w:rsidR="0010729A" w:rsidRDefault="0096707A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Odpisów aktualizujących należności dokonuje się na dzień bilansowy, według zasad określonych w ustawie o rachunkowości, z tym że odpisy aktualizujące należności dotyczących ZFŚS obciążają ten fundusz.</w:t>
      </w:r>
    </w:p>
    <w:p w:rsidR="0010729A" w:rsidRDefault="0096707A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Odpisów aktualizujących dokonuje się szczególności w odniesieniu do:</w:t>
      </w:r>
    </w:p>
    <w:p w:rsidR="0010729A" w:rsidRDefault="0096707A">
      <w:pPr>
        <w:pStyle w:val="Standard"/>
        <w:numPr>
          <w:ilvl w:val="0"/>
          <w:numId w:val="4"/>
        </w:numPr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należności od dłużników postawionych w stan likwidacji lub w stan upadłości – do wysokości należności nieobjętej gwarancją lub innym zabezpieczeniem,</w:t>
      </w:r>
    </w:p>
    <w:p w:rsidR="0010729A" w:rsidRDefault="0096707A">
      <w:pPr>
        <w:pStyle w:val="Standard"/>
        <w:numPr>
          <w:ilvl w:val="0"/>
          <w:numId w:val="4"/>
        </w:numPr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należności od dłużników w przypadku oddalenia wniosku o ogłoszenie upadłości, jeżeli majątek dłużnika nie wystarcza na zaspokojenie kosztów postępowania upadłościowego w pełnej wysokości należności,</w:t>
      </w:r>
    </w:p>
    <w:p w:rsidR="0010729A" w:rsidRDefault="0096707A">
      <w:pPr>
        <w:pStyle w:val="Standard"/>
        <w:numPr>
          <w:ilvl w:val="0"/>
          <w:numId w:val="4"/>
        </w:numPr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należności kwestionowanych przez dłużników oraz z których zapłatą dłużnik zalega, a według oceny sytuacji majątkowej i finansowej dłużnika spłata należności w umownej kwocie nie jest prawdopodobna – do wysokości niepokrytej gwarancją lub innym zabezpieczeniem należności,</w:t>
      </w:r>
    </w:p>
    <w:p w:rsidR="0010729A" w:rsidRDefault="0096707A">
      <w:pPr>
        <w:pStyle w:val="Standard"/>
        <w:numPr>
          <w:ilvl w:val="0"/>
          <w:numId w:val="4"/>
        </w:numPr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należności, których dochodzenie skierowane zostało na drogę postępowania sądowego,</w:t>
      </w:r>
    </w:p>
    <w:p w:rsidR="0010729A" w:rsidRDefault="0096707A">
      <w:pPr>
        <w:pStyle w:val="Standard"/>
        <w:numPr>
          <w:ilvl w:val="0"/>
          <w:numId w:val="4"/>
        </w:numPr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należności stanowiących równowartość kwot podwyższających należności, w stosunku do których uprzednio dokonano odpisu aktualizującego – w wysokości tych kwot.</w:t>
      </w:r>
    </w:p>
    <w:p w:rsidR="0010729A" w:rsidRDefault="0096707A">
      <w:pPr>
        <w:pStyle w:val="Standard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Nie dokonuje się odpisów aktualizujących należności wskazanych wyżej, w przypadku gdy zostały one zapłacone do dnia sporządzenia sprawozdania finansowego za rok obrotowy.</w:t>
      </w:r>
    </w:p>
    <w:p w:rsidR="0010729A" w:rsidRDefault="0010729A">
      <w:pPr>
        <w:pStyle w:val="Standard"/>
        <w:rPr>
          <w:rFonts w:ascii="Calibri" w:hAnsi="Calibri"/>
        </w:rPr>
      </w:pPr>
    </w:p>
    <w:p w:rsidR="0010729A" w:rsidRDefault="0096707A">
      <w:pPr>
        <w:pStyle w:val="Standard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4. Wycena pozostałych aktywów i pasywów</w:t>
      </w:r>
    </w:p>
    <w:p w:rsidR="0010729A" w:rsidRDefault="0096707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Środki pieniężne, fundusze oraz pozostałe aktywa i pasywa wycenia się według wartości nominalnej.</w:t>
      </w:r>
    </w:p>
    <w:p w:rsidR="0010729A" w:rsidRDefault="0010729A">
      <w:pPr>
        <w:pStyle w:val="Standard"/>
        <w:spacing w:before="113" w:after="113"/>
        <w:rPr>
          <w:rFonts w:ascii="Calibri" w:hAnsi="Calibri"/>
        </w:rPr>
      </w:pPr>
      <w:bookmarkStart w:id="0" w:name="_GoBack"/>
      <w:bookmarkEnd w:id="0"/>
    </w:p>
    <w:sectPr w:rsidR="0010729A">
      <w:footerReference w:type="default" r:id="rId7"/>
      <w:pgSz w:w="12240" w:h="15840"/>
      <w:pgMar w:top="1134" w:right="1134" w:bottom="1248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12" w:rsidRDefault="000C4112">
      <w:pPr>
        <w:rPr>
          <w:rFonts w:hint="eastAsia"/>
        </w:rPr>
      </w:pPr>
      <w:r>
        <w:separator/>
      </w:r>
    </w:p>
  </w:endnote>
  <w:endnote w:type="continuationSeparator" w:id="0">
    <w:p w:rsidR="000C4112" w:rsidRDefault="000C4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8A" w:rsidRDefault="0096707A">
    <w:pPr>
      <w:pStyle w:val="Stopka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2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12" w:rsidRDefault="000C41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4112" w:rsidRDefault="000C41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F80"/>
    <w:multiLevelType w:val="multilevel"/>
    <w:tmpl w:val="83A27E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584C2CD9"/>
    <w:multiLevelType w:val="multilevel"/>
    <w:tmpl w:val="88B60D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DD4D6B"/>
    <w:multiLevelType w:val="multilevel"/>
    <w:tmpl w:val="AAA86A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892056A"/>
    <w:multiLevelType w:val="multilevel"/>
    <w:tmpl w:val="B83A15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9A"/>
    <w:rsid w:val="000C4112"/>
    <w:rsid w:val="0010729A"/>
    <w:rsid w:val="0015294D"/>
    <w:rsid w:val="00296E29"/>
    <w:rsid w:val="0096707A"/>
    <w:rsid w:val="00B17370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83497-F458-47AD-964F-57ABDD7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styleId="Stopk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Czarnecka</cp:lastModifiedBy>
  <cp:revision>3</cp:revision>
  <dcterms:created xsi:type="dcterms:W3CDTF">2020-04-23T08:53:00Z</dcterms:created>
  <dcterms:modified xsi:type="dcterms:W3CDTF">2020-04-23T10:15:00Z</dcterms:modified>
</cp:coreProperties>
</file>